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93" w:rsidRPr="00526A62" w:rsidRDefault="003D3305" w:rsidP="00526A62">
      <w:pPr>
        <w:jc w:val="center"/>
        <w:rPr>
          <w:b/>
        </w:rPr>
      </w:pPr>
      <w:r w:rsidRPr="00526A62">
        <w:rPr>
          <w:b/>
        </w:rPr>
        <w:t>Projets de formations à la coopération</w:t>
      </w:r>
    </w:p>
    <w:tbl>
      <w:tblPr>
        <w:tblStyle w:val="Grilledutableau"/>
        <w:tblW w:w="15168" w:type="dxa"/>
        <w:tblInd w:w="-572" w:type="dxa"/>
        <w:tblLook w:val="04A0" w:firstRow="1" w:lastRow="0" w:firstColumn="1" w:lastColumn="0" w:noHBand="0" w:noVBand="1"/>
      </w:tblPr>
      <w:tblGrid>
        <w:gridCol w:w="1172"/>
        <w:gridCol w:w="2230"/>
        <w:gridCol w:w="2977"/>
        <w:gridCol w:w="3402"/>
        <w:gridCol w:w="5387"/>
      </w:tblGrid>
      <w:tr w:rsidR="00BD66B3" w:rsidTr="00BD66B3">
        <w:tc>
          <w:tcPr>
            <w:tcW w:w="1172" w:type="dxa"/>
          </w:tcPr>
          <w:p w:rsidR="00BD66B3" w:rsidRDefault="00BD66B3">
            <w:r>
              <w:t>Qui ?</w:t>
            </w:r>
          </w:p>
        </w:tc>
        <w:tc>
          <w:tcPr>
            <w:tcW w:w="2230" w:type="dxa"/>
          </w:tcPr>
          <w:p w:rsidR="00BD66B3" w:rsidRDefault="00BD66B3">
            <w:r>
              <w:t>Quoi ?</w:t>
            </w:r>
          </w:p>
        </w:tc>
        <w:tc>
          <w:tcPr>
            <w:tcW w:w="2977" w:type="dxa"/>
          </w:tcPr>
          <w:p w:rsidR="00BD66B3" w:rsidRDefault="00BD66B3">
            <w:r>
              <w:t>Comment ?</w:t>
            </w:r>
          </w:p>
        </w:tc>
        <w:tc>
          <w:tcPr>
            <w:tcW w:w="3402" w:type="dxa"/>
          </w:tcPr>
          <w:p w:rsidR="00BD66B3" w:rsidRDefault="00BD66B3">
            <w:r>
              <w:t>Pourquoi ?</w:t>
            </w:r>
          </w:p>
        </w:tc>
        <w:tc>
          <w:tcPr>
            <w:tcW w:w="5387" w:type="dxa"/>
          </w:tcPr>
          <w:p w:rsidR="00BD66B3" w:rsidRDefault="00BD66B3">
            <w:r>
              <w:t>Présentation</w:t>
            </w:r>
          </w:p>
        </w:tc>
      </w:tr>
      <w:tr w:rsidR="00BD66B3" w:rsidTr="00BD66B3">
        <w:tc>
          <w:tcPr>
            <w:tcW w:w="1172" w:type="dxa"/>
          </w:tcPr>
          <w:p w:rsidR="00BD66B3" w:rsidRDefault="00BD66B3">
            <w:r>
              <w:t>Anne Evelyne</w:t>
            </w:r>
          </w:p>
          <w:p w:rsidR="00BD66B3" w:rsidRDefault="00BD66B3" w:rsidP="00CB76E8">
            <w:r>
              <w:t>Karine</w:t>
            </w:r>
          </w:p>
          <w:p w:rsidR="00BD66B3" w:rsidRDefault="00BD66B3">
            <w:r>
              <w:t>Nadia</w:t>
            </w:r>
          </w:p>
          <w:p w:rsidR="00BD66B3" w:rsidRDefault="00BD66B3" w:rsidP="00017F5C">
            <w:r>
              <w:t>Samira</w:t>
            </w:r>
          </w:p>
          <w:p w:rsidR="00BD66B3" w:rsidRDefault="00BD66B3"/>
        </w:tc>
        <w:tc>
          <w:tcPr>
            <w:tcW w:w="2230" w:type="dxa"/>
          </w:tcPr>
          <w:p w:rsidR="00BD66B3" w:rsidRDefault="00BD66B3">
            <w:r>
              <w:t>Réalisation d’un plan d’accompagnement d’un professeur stagiaire par la coopération</w:t>
            </w:r>
          </w:p>
        </w:tc>
        <w:tc>
          <w:tcPr>
            <w:tcW w:w="2977" w:type="dxa"/>
          </w:tcPr>
          <w:p w:rsidR="00BD66B3" w:rsidRDefault="00BD66B3">
            <w:r>
              <w:t>Echéancier</w:t>
            </w:r>
          </w:p>
          <w:p w:rsidR="00BD66B3" w:rsidRDefault="00BD66B3">
            <w:r>
              <w:t>Rétroplanning</w:t>
            </w:r>
          </w:p>
          <w:p w:rsidR="00BD66B3" w:rsidRDefault="00BD66B3">
            <w:r>
              <w:t>Organisation d’éléments concrets</w:t>
            </w:r>
          </w:p>
          <w:p w:rsidR="00BD66B3" w:rsidRDefault="00BD66B3">
            <w:r>
              <w:t>Plan de travail</w:t>
            </w:r>
          </w:p>
          <w:p w:rsidR="00BD66B3" w:rsidRDefault="00BD66B3">
            <w:r>
              <w:t>Questionnaire</w:t>
            </w:r>
          </w:p>
          <w:p w:rsidR="00BD66B3" w:rsidRDefault="00BD66B3">
            <w:r>
              <w:t>Réalisation d’un plan de travail annuel</w:t>
            </w:r>
          </w:p>
        </w:tc>
        <w:tc>
          <w:tcPr>
            <w:tcW w:w="3402" w:type="dxa"/>
          </w:tcPr>
          <w:p w:rsidR="00BD66B3" w:rsidRDefault="00BD66B3">
            <w:r>
              <w:t>Vue d’ensemble pour tuteurs et stagiaire</w:t>
            </w:r>
          </w:p>
          <w:p w:rsidR="00BD66B3" w:rsidRDefault="00BD66B3">
            <w:r>
              <w:t>Se projeter dans le temps</w:t>
            </w:r>
          </w:p>
          <w:p w:rsidR="00BD66B3" w:rsidRDefault="00BD66B3">
            <w:r>
              <w:t>Fournir un cadre ménageant un espace de liberté</w:t>
            </w:r>
          </w:p>
          <w:p w:rsidR="00BD66B3" w:rsidRDefault="00BD66B3">
            <w:r>
              <w:t>Sécuriser le stagiaire</w:t>
            </w:r>
          </w:p>
          <w:p w:rsidR="00BD66B3" w:rsidRDefault="00BD66B3">
            <w:r>
              <w:t xml:space="preserve">Développer l’auto er la </w:t>
            </w:r>
            <w:proofErr w:type="spellStart"/>
            <w:r>
              <w:t>co</w:t>
            </w:r>
            <w:proofErr w:type="spellEnd"/>
            <w:r>
              <w:t>-évaluation par la réflexivité</w:t>
            </w:r>
          </w:p>
        </w:tc>
        <w:tc>
          <w:tcPr>
            <w:tcW w:w="5387" w:type="dxa"/>
          </w:tcPr>
          <w:p w:rsidR="00BD66B3" w:rsidRDefault="001117BD">
            <w:r>
              <w:t xml:space="preserve">Personnaliser le parcours du stagiaire. Présentation d’un plan de travail, pour formaliser les attentes, contractualiser le travail et présenter les échéances. </w:t>
            </w:r>
          </w:p>
          <w:p w:rsidR="001117BD" w:rsidRDefault="001117BD">
            <w:r>
              <w:t>Plan de travail sur 2 mois, en fonction d’observations du stagiaire dans sa classe, des axes de travail (liste ciblée de compétences pro – partie obligatoire du travail), des propositions (le travail personnel des stagiaires), des projets « au choix » (action pédagogique, investissement dans l’établissement, travail avec d’autres stagiaires, entraide, projet à l’ESPE, …), une partie « bilan »</w:t>
            </w:r>
            <w:r w:rsidR="00B96B82">
              <w:t xml:space="preserve"> avec les avis du stagiaire, du tuteur établissement, du tuteur ESPE.</w:t>
            </w:r>
          </w:p>
          <w:p w:rsidR="00B96B82" w:rsidRDefault="00B96B82">
            <w:r>
              <w:t xml:space="preserve">Un questionnaire de début d’année consiste à permettre de la réciprocité. (à partir de </w:t>
            </w:r>
            <w:hyperlink r:id="rId4" w:history="1">
              <w:r w:rsidRPr="00B96B82">
                <w:rPr>
                  <w:rStyle w:val="Lienhypertexte"/>
                </w:rPr>
                <w:t>celui proposé par F. Muller</w:t>
              </w:r>
            </w:hyperlink>
            <w:r>
              <w:t>)</w:t>
            </w:r>
          </w:p>
          <w:p w:rsidR="00B96B82" w:rsidRDefault="00B96B82">
            <w:r>
              <w:t xml:space="preserve">Un document annexe est prévu pour le suivi des compétences professionnelles : les stagiaires déterminent des observables. </w:t>
            </w:r>
            <w:bookmarkStart w:id="0" w:name="_GoBack"/>
            <w:bookmarkEnd w:id="0"/>
          </w:p>
        </w:tc>
      </w:tr>
      <w:tr w:rsidR="00BD66B3" w:rsidTr="00BD66B3">
        <w:tc>
          <w:tcPr>
            <w:tcW w:w="1172" w:type="dxa"/>
          </w:tcPr>
          <w:p w:rsidR="00BD66B3" w:rsidRDefault="00BD66B3" w:rsidP="00017F5C">
            <w:r>
              <w:t>Bénédicte</w:t>
            </w:r>
          </w:p>
          <w:p w:rsidR="00BD66B3" w:rsidRDefault="00BD66B3">
            <w:r>
              <w:t>Christelle</w:t>
            </w:r>
          </w:p>
          <w:p w:rsidR="00BD66B3" w:rsidRDefault="00BD66B3">
            <w:r>
              <w:t>Rachel</w:t>
            </w:r>
          </w:p>
        </w:tc>
        <w:tc>
          <w:tcPr>
            <w:tcW w:w="2230" w:type="dxa"/>
          </w:tcPr>
          <w:p w:rsidR="00BD66B3" w:rsidRDefault="00BD66B3">
            <w:r>
              <w:t>Proposer une formation centrée sur le partage, l’échange de pratiques professionnelles de tuteurs M2</w:t>
            </w:r>
          </w:p>
        </w:tc>
        <w:tc>
          <w:tcPr>
            <w:tcW w:w="2977" w:type="dxa"/>
          </w:tcPr>
          <w:p w:rsidR="00BD66B3" w:rsidRDefault="00BD66B3">
            <w:r>
              <w:t>Déroulé – type de formation</w:t>
            </w:r>
          </w:p>
        </w:tc>
        <w:tc>
          <w:tcPr>
            <w:tcW w:w="3402" w:type="dxa"/>
          </w:tcPr>
          <w:p w:rsidR="00BD66B3" w:rsidRDefault="00BD66B3">
            <w:r>
              <w:t xml:space="preserve">Développer la formation des tuteurs M2 en éducation musicale par le </w:t>
            </w:r>
            <w:proofErr w:type="spellStart"/>
            <w:r>
              <w:t>co-partage</w:t>
            </w:r>
            <w:proofErr w:type="spellEnd"/>
            <w:r>
              <w:t>, le co-développement</w:t>
            </w:r>
          </w:p>
        </w:tc>
        <w:tc>
          <w:tcPr>
            <w:tcW w:w="5387" w:type="dxa"/>
          </w:tcPr>
          <w:p w:rsidR="00BD66B3" w:rsidRPr="0018150E" w:rsidRDefault="007879B2">
            <w:pPr>
              <w:rPr>
                <w:rFonts w:cstheme="minorHAnsi"/>
              </w:rPr>
            </w:pPr>
            <w:r w:rsidRPr="0018150E">
              <w:rPr>
                <w:rFonts w:cstheme="minorHAnsi"/>
              </w:rPr>
              <w:t>Constituer un groupe de tuteurs de M2 basé sur le co-développement</w:t>
            </w:r>
            <w:r w:rsidR="007347F2" w:rsidRPr="0018150E">
              <w:rPr>
                <w:rFonts w:cstheme="minorHAnsi"/>
              </w:rPr>
              <w:t xml:space="preserve"> professionnel</w:t>
            </w:r>
            <w:r w:rsidRPr="0018150E">
              <w:rPr>
                <w:rFonts w:cstheme="minorHAnsi"/>
              </w:rPr>
              <w:t xml:space="preserve">. Formation en présentiel et en distanciel, au-delà de 3 jours de démarrage. </w:t>
            </w:r>
          </w:p>
          <w:p w:rsidR="007879B2" w:rsidRPr="0018150E" w:rsidRDefault="004644AD">
            <w:pPr>
              <w:rPr>
                <w:rFonts w:cstheme="minorHAnsi"/>
              </w:rPr>
            </w:pPr>
            <w:r w:rsidRPr="0018150E">
              <w:rPr>
                <w:rFonts w:cstheme="minorHAnsi"/>
                <w:u w:val="single"/>
              </w:rPr>
              <w:t>Jour 1</w:t>
            </w:r>
            <w:r w:rsidRPr="0018150E">
              <w:rPr>
                <w:rFonts w:cstheme="minorHAnsi"/>
              </w:rPr>
              <w:t> : présentations individuelles – présentation de la formation – apports du formateur – règles de fonctionnement et de vie du groupe – questionnement sur la notion de tutorat (</w:t>
            </w:r>
            <w:hyperlink r:id="rId5" w:history="1">
              <w:r w:rsidRPr="0018150E">
                <w:rPr>
                  <w:rStyle w:val="Lienhypertexte"/>
                  <w:rFonts w:cstheme="minorHAnsi"/>
                </w:rPr>
                <w:t>q-sort</w:t>
              </w:r>
            </w:hyperlink>
            <w:r w:rsidRPr="0018150E">
              <w:rPr>
                <w:rFonts w:cstheme="minorHAnsi"/>
              </w:rPr>
              <w:t xml:space="preserve"> et </w:t>
            </w:r>
            <w:hyperlink r:id="rId6" w:history="1">
              <w:r w:rsidRPr="0018150E">
                <w:rPr>
                  <w:rStyle w:val="Lienhypertexte"/>
                  <w:rFonts w:cstheme="minorHAnsi"/>
                </w:rPr>
                <w:t>technique de l’étoile</w:t>
              </w:r>
            </w:hyperlink>
            <w:r w:rsidRPr="0018150E">
              <w:rPr>
                <w:rFonts w:cstheme="minorHAnsi"/>
              </w:rPr>
              <w:t>) – organisation d’un espace d’échanges collaboratifs en distanciel</w:t>
            </w:r>
          </w:p>
          <w:p w:rsidR="004644AD" w:rsidRPr="0018150E" w:rsidRDefault="004644AD">
            <w:pPr>
              <w:rPr>
                <w:rFonts w:cstheme="minorHAnsi"/>
                <w:u w:val="single"/>
              </w:rPr>
            </w:pPr>
            <w:r w:rsidRPr="0018150E">
              <w:rPr>
                <w:rFonts w:cstheme="minorHAnsi"/>
                <w:u w:val="single"/>
              </w:rPr>
              <w:t xml:space="preserve">Jour 2 </w:t>
            </w:r>
          </w:p>
          <w:p w:rsidR="004644AD" w:rsidRPr="0018150E" w:rsidRDefault="004644AD">
            <w:pPr>
              <w:rPr>
                <w:rFonts w:cstheme="minorHAnsi"/>
                <w:u w:val="single"/>
              </w:rPr>
            </w:pPr>
            <w:r w:rsidRPr="0018150E">
              <w:rPr>
                <w:rFonts w:cstheme="minorHAnsi"/>
                <w:u w:val="single"/>
              </w:rPr>
              <w:t xml:space="preserve">Jour 3 </w:t>
            </w:r>
          </w:p>
          <w:p w:rsidR="0018150E" w:rsidRPr="0018150E" w:rsidRDefault="0018150E" w:rsidP="0018150E">
            <w:pPr>
              <w:spacing w:line="240" w:lineRule="atLeast"/>
              <w:rPr>
                <w:rStyle w:val="tl8wme"/>
                <w:rFonts w:cstheme="minorHAnsi"/>
                <w:color w:val="263238"/>
              </w:rPr>
            </w:pPr>
            <w:r w:rsidRPr="0018150E">
              <w:rPr>
                <w:rStyle w:val="tl8wme"/>
                <w:rFonts w:cstheme="minorHAnsi"/>
                <w:color w:val="263238"/>
              </w:rPr>
              <w:t>Les principes de la formation en co-développement :</w:t>
            </w:r>
          </w:p>
          <w:p w:rsidR="0018150E" w:rsidRPr="0018150E" w:rsidRDefault="0018150E" w:rsidP="0018150E">
            <w:pPr>
              <w:spacing w:line="240" w:lineRule="atLeast"/>
              <w:rPr>
                <w:rFonts w:cstheme="minorHAnsi"/>
                <w:color w:val="263238"/>
              </w:rPr>
            </w:pPr>
            <w:r w:rsidRPr="0018150E">
              <w:rPr>
                <w:rStyle w:val="tl8wme"/>
                <w:rFonts w:cstheme="minorHAnsi"/>
                <w:color w:val="263238"/>
              </w:rPr>
              <w:t>Pour situer rapidement l’approche dans son contexte épistémologique, on trouvera dans la bibliographie nos principales sources d’inspiration et voici la liste des principes qui la fondent (</w:t>
            </w:r>
            <w:hyperlink r:id="rId7" w:history="1">
              <w:r w:rsidRPr="0018150E">
                <w:rPr>
                  <w:rStyle w:val="Lienhypertexte"/>
                  <w:rFonts w:cstheme="minorHAnsi"/>
                </w:rPr>
                <w:t xml:space="preserve">Payette et Champagne, 1997, </w:t>
              </w:r>
              <w:r w:rsidRPr="0018150E">
                <w:rPr>
                  <w:rStyle w:val="Lienhypertexte"/>
                  <w:rFonts w:cstheme="minorHAnsi"/>
                </w:rPr>
                <w:lastRenderedPageBreak/>
                <w:t>chap. 2</w:t>
              </w:r>
            </w:hyperlink>
            <w:r w:rsidRPr="0018150E">
              <w:rPr>
                <w:rStyle w:val="tl8wme"/>
                <w:rFonts w:cstheme="minorHAnsi"/>
                <w:color w:val="263238"/>
              </w:rPr>
              <w:t>) : 1. La pratique produit des savoirs que la science ne peut pas produire. 2. Apprendre une pratique professionnelle, c’est apprendre à agir. 3. Échanger avec d’autres sur ses expériences permet des apprentissages impossible</w:t>
            </w:r>
            <w:r>
              <w:rPr>
                <w:rStyle w:val="tl8wme"/>
                <w:rFonts w:cstheme="minorHAnsi"/>
                <w:color w:val="263238"/>
              </w:rPr>
              <w:t>s</w:t>
            </w:r>
            <w:r w:rsidRPr="0018150E">
              <w:rPr>
                <w:rStyle w:val="tl8wme"/>
                <w:rFonts w:cstheme="minorHAnsi"/>
                <w:color w:val="263238"/>
              </w:rPr>
              <w:t xml:space="preserve"> autrement. 4. Le praticien en action est une personne unique dans une situation unique. 5. La subjectivité de l’acteur est aussi importante que l’objectivité de la situation. 6. Le travail sur l’identité professionnelle est au cœur du codéveloppement. 7. Pour apprendre à mieux agir, il faut faire de la place à ses incompétences.    </w:t>
            </w:r>
          </w:p>
        </w:tc>
      </w:tr>
      <w:tr w:rsidR="00BD66B3" w:rsidTr="00BD66B3">
        <w:tc>
          <w:tcPr>
            <w:tcW w:w="1172" w:type="dxa"/>
          </w:tcPr>
          <w:p w:rsidR="00BD66B3" w:rsidRDefault="00BD66B3">
            <w:r>
              <w:lastRenderedPageBreak/>
              <w:t>Aurélie</w:t>
            </w:r>
          </w:p>
          <w:p w:rsidR="00BD66B3" w:rsidRDefault="00BD66B3">
            <w:r>
              <w:t>Cécile</w:t>
            </w:r>
          </w:p>
          <w:p w:rsidR="00BD66B3" w:rsidRDefault="00BD66B3">
            <w:r>
              <w:t>David</w:t>
            </w:r>
          </w:p>
          <w:p w:rsidR="00BD66B3" w:rsidRDefault="00BD66B3">
            <w:r>
              <w:t>Emmanuel</w:t>
            </w:r>
          </w:p>
          <w:p w:rsidR="00BD66B3" w:rsidRDefault="00BD66B3">
            <w:r>
              <w:t>Nathalie</w:t>
            </w:r>
          </w:p>
        </w:tc>
        <w:tc>
          <w:tcPr>
            <w:tcW w:w="2230" w:type="dxa"/>
          </w:tcPr>
          <w:p w:rsidR="00BD66B3" w:rsidRDefault="00BD66B3">
            <w:r>
              <w:t>Déroulé de formation pour des enseignants volontaires</w:t>
            </w:r>
          </w:p>
          <w:p w:rsidR="00BD66B3" w:rsidRDefault="00BD66B3">
            <w:r>
              <w:t>Scénario de formation publiable sur le site du CRAP</w:t>
            </w:r>
          </w:p>
        </w:tc>
        <w:tc>
          <w:tcPr>
            <w:tcW w:w="2977" w:type="dxa"/>
          </w:tcPr>
          <w:p w:rsidR="00BD66B3" w:rsidRDefault="00BD66B3">
            <w:r>
              <w:t>Ecriture d’une fiche grand public (format CRAP)</w:t>
            </w:r>
          </w:p>
          <w:p w:rsidR="00BD66B3" w:rsidRDefault="00BD66B3">
            <w:r>
              <w:t>Ecriture de briques pédagogiques avec des démarches pédagogiques thématiques (sur le principe de l’isomorphisme) – Partage de tâches et présentation commune lundi matin</w:t>
            </w:r>
          </w:p>
          <w:p w:rsidR="00BD66B3" w:rsidRDefault="00BD66B3">
            <w:r>
              <w:t>Prévoir un support numérique de formation</w:t>
            </w:r>
          </w:p>
        </w:tc>
        <w:tc>
          <w:tcPr>
            <w:tcW w:w="3402" w:type="dxa"/>
          </w:tcPr>
          <w:p w:rsidR="00BD66B3" w:rsidRDefault="00BD66B3">
            <w:r>
              <w:t>Répondre à un besoin de formation et positionner le CRAP comme ressource</w:t>
            </w:r>
          </w:p>
        </w:tc>
        <w:tc>
          <w:tcPr>
            <w:tcW w:w="5387" w:type="dxa"/>
          </w:tcPr>
          <w:p w:rsidR="00BD66B3" w:rsidRDefault="007347F2">
            <w:r>
              <w:t xml:space="preserve">Présentation d’un espace de ressources sous forme de l’interface </w:t>
            </w:r>
            <w:hyperlink r:id="rId8" w:history="1">
              <w:proofErr w:type="spellStart"/>
              <w:r w:rsidRPr="0018150E">
                <w:rPr>
                  <w:rStyle w:val="Lienhypertexte"/>
                </w:rPr>
                <w:t>Genially</w:t>
              </w:r>
              <w:proofErr w:type="spellEnd"/>
              <w:r w:rsidR="0018150E" w:rsidRPr="0018150E">
                <w:rPr>
                  <w:rStyle w:val="Lienhypertexte"/>
                </w:rPr>
                <w:t> </w:t>
              </w:r>
            </w:hyperlink>
            <w:r w:rsidR="0018150E">
              <w:t>: proposition d’actions de formations et, si possible, de classes d’accueil</w:t>
            </w:r>
          </w:p>
          <w:p w:rsidR="007347F2" w:rsidRDefault="0018150E">
            <w:r>
              <w:t xml:space="preserve">Depuis le site du CRAP : </w:t>
            </w:r>
            <w:hyperlink r:id="rId9" w:history="1">
              <w:r w:rsidRPr="00D823C4">
                <w:rPr>
                  <w:rStyle w:val="Lienhypertexte"/>
                </w:rPr>
                <w:t>http://www.cahiers-pedagogiques.com/-Les-formations-du-CRAP-Cahiers-pedagogiques-</w:t>
              </w:r>
            </w:hyperlink>
          </w:p>
          <w:p w:rsidR="0018150E" w:rsidRDefault="0018150E">
            <w:r>
              <w:t>Un espace de formations aux pratiques de coopération, qui se déclinent par des « briques » : tutorat entre pairs, jeux coopératifs, DVDP, travail en groupe, …</w:t>
            </w:r>
          </w:p>
          <w:p w:rsidR="0018150E" w:rsidRDefault="0018150E">
            <w:r>
              <w:t xml:space="preserve">Des ressources publiques (pour la proposition des formations) et d’autres pour les formateurs de ces sessions. </w:t>
            </w:r>
          </w:p>
        </w:tc>
      </w:tr>
      <w:tr w:rsidR="00BD66B3" w:rsidTr="00BD66B3">
        <w:tc>
          <w:tcPr>
            <w:tcW w:w="1172" w:type="dxa"/>
          </w:tcPr>
          <w:p w:rsidR="00BD66B3" w:rsidRDefault="00BD66B3">
            <w:r>
              <w:t>Anne-Marie</w:t>
            </w:r>
          </w:p>
          <w:p w:rsidR="00BD66B3" w:rsidRDefault="00BD66B3">
            <w:r>
              <w:t>Céline</w:t>
            </w:r>
          </w:p>
          <w:p w:rsidR="00BD66B3" w:rsidRDefault="00BD66B3">
            <w:r>
              <w:t>Delphine</w:t>
            </w:r>
          </w:p>
          <w:p w:rsidR="00BD66B3" w:rsidRDefault="00BD66B3">
            <w:proofErr w:type="spellStart"/>
            <w:r>
              <w:t>Gersende</w:t>
            </w:r>
            <w:proofErr w:type="spellEnd"/>
          </w:p>
          <w:p w:rsidR="00BD66B3" w:rsidRDefault="00BD66B3">
            <w:r>
              <w:t>Isabelle</w:t>
            </w:r>
          </w:p>
          <w:p w:rsidR="00BD66B3" w:rsidRDefault="00BD66B3">
            <w:r>
              <w:t>Patricia</w:t>
            </w:r>
          </w:p>
          <w:p w:rsidR="00BD66B3" w:rsidRDefault="00BD66B3">
            <w:r>
              <w:t>Rémy</w:t>
            </w:r>
          </w:p>
        </w:tc>
        <w:tc>
          <w:tcPr>
            <w:tcW w:w="2230" w:type="dxa"/>
          </w:tcPr>
          <w:p w:rsidR="00BD66B3" w:rsidRDefault="00BD66B3">
            <w:r>
              <w:t>Projet de formation sur la coopération au service du mieux-être de l’enseignant et de l’élève – le cercle vertueux</w:t>
            </w:r>
          </w:p>
        </w:tc>
        <w:tc>
          <w:tcPr>
            <w:tcW w:w="2977" w:type="dxa"/>
          </w:tcPr>
          <w:p w:rsidR="00BD66B3" w:rsidRDefault="00BD66B3">
            <w:r>
              <w:t>Présentation numérique avec besoin de VP, pour construire une maquette de formation</w:t>
            </w:r>
          </w:p>
        </w:tc>
        <w:tc>
          <w:tcPr>
            <w:tcW w:w="3402" w:type="dxa"/>
          </w:tcPr>
          <w:p w:rsidR="00BD66B3" w:rsidRDefault="00BD66B3">
            <w:r>
              <w:t>Sensibiliser l’enseignant aux bénéfices du travail coopératif, pour créer de meilleures conditions d’apprentissage</w:t>
            </w:r>
          </w:p>
        </w:tc>
        <w:tc>
          <w:tcPr>
            <w:tcW w:w="5387" w:type="dxa"/>
          </w:tcPr>
          <w:p w:rsidR="00BD66B3" w:rsidRDefault="00BD66B3">
            <w:r>
              <w:t>1- Brise-glace, type « date de naissance »</w:t>
            </w:r>
          </w:p>
          <w:p w:rsidR="00BD66B3" w:rsidRDefault="00BD66B3">
            <w:r>
              <w:t>2- « Avez-vous coopéré ? »</w:t>
            </w:r>
          </w:p>
          <w:p w:rsidR="00BD66B3" w:rsidRDefault="00BD66B3">
            <w:r>
              <w:t>3- Brainstorming par îlot</w:t>
            </w:r>
          </w:p>
          <w:p w:rsidR="00BD66B3" w:rsidRDefault="00BD66B3">
            <w:r>
              <w:t>4- Restitution générale (quelques bases théoriques)</w:t>
            </w:r>
          </w:p>
          <w:p w:rsidR="00BD66B3" w:rsidRDefault="00BD66B3">
            <w:r>
              <w:t>5- Retour sur la définition de la coopération</w:t>
            </w:r>
          </w:p>
          <w:p w:rsidR="00BD66B3" w:rsidRDefault="00BD66B3">
            <w:r>
              <w:t>6- Chamallow challenge : pour réaliser l’œuvre, nécessité d’être plusieurs (à partir d’injections d’émotions)</w:t>
            </w:r>
          </w:p>
          <w:p w:rsidR="00BD66B3" w:rsidRDefault="00BD66B3">
            <w:r>
              <w:t>7- Analyse des émotions pendant le défi : qu’avez-vous ressenti pendant le challenge ? Si vous vous mettez à la place des élèves, que peuvent-ils ressentir ?</w:t>
            </w:r>
          </w:p>
          <w:p w:rsidR="00BD66B3" w:rsidRDefault="00BD66B3">
            <w:r>
              <w:lastRenderedPageBreak/>
              <w:t>8- Régulation : comment se passe la coopération ? Comment pourrait-elle se passer en classe ? Expression individuelle de stagiaires de leurs ressentis</w:t>
            </w:r>
          </w:p>
          <w:p w:rsidR="00BD66B3" w:rsidRDefault="00BD66B3">
            <w:r>
              <w:t xml:space="preserve">9- Quels outils proposer pour des activités coopératives ? </w:t>
            </w:r>
          </w:p>
          <w:p w:rsidR="00BD66B3" w:rsidRDefault="00BD66B3">
            <w:r>
              <w:t>10- recueil des outils proposés et compléter la boite à outils</w:t>
            </w:r>
          </w:p>
          <w:p w:rsidR="00BD66B3" w:rsidRDefault="00BD66B3">
            <w:r>
              <w:t>11- Mise en pratique en groupe sous forme de « tripatouillage »</w:t>
            </w:r>
          </w:p>
          <w:p w:rsidR="00BD66B3" w:rsidRDefault="00BD66B3">
            <w:r>
              <w:t>12- Bilan sur : l’importance de l’erreur, les limites ressenties, le désir d’utiliser des outils coopération, ou pas, des perspectives sur l’activité en classe</w:t>
            </w:r>
          </w:p>
          <w:p w:rsidR="00BD66B3" w:rsidRDefault="00BD66B3">
            <w:r>
              <w:t>13- Conclusion : « La coopération n’est pas un long fleuve tranquille »</w:t>
            </w:r>
          </w:p>
        </w:tc>
      </w:tr>
    </w:tbl>
    <w:p w:rsidR="00DF1F38" w:rsidRDefault="00DF1F38"/>
    <w:sectPr w:rsidR="00DF1F38" w:rsidSect="00526A62">
      <w:pgSz w:w="16838" w:h="11906" w:orient="landscape"/>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05"/>
    <w:rsid w:val="00017F5C"/>
    <w:rsid w:val="001117BD"/>
    <w:rsid w:val="0018150E"/>
    <w:rsid w:val="00387A4E"/>
    <w:rsid w:val="003A0B93"/>
    <w:rsid w:val="003D3305"/>
    <w:rsid w:val="004644AD"/>
    <w:rsid w:val="004F36C1"/>
    <w:rsid w:val="00526A62"/>
    <w:rsid w:val="007347F2"/>
    <w:rsid w:val="007879B2"/>
    <w:rsid w:val="00B22D4B"/>
    <w:rsid w:val="00B96B82"/>
    <w:rsid w:val="00BD66B3"/>
    <w:rsid w:val="00CB76E8"/>
    <w:rsid w:val="00DF1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8389"/>
  <w15:chartTrackingRefBased/>
  <w15:docId w15:val="{97FCB84E-D05F-46F3-86D8-5DFA509C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D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D66B3"/>
    <w:pPr>
      <w:ind w:left="720"/>
      <w:contextualSpacing/>
    </w:pPr>
  </w:style>
  <w:style w:type="character" w:styleId="Lienhypertexte">
    <w:name w:val="Hyperlink"/>
    <w:basedOn w:val="Policepardfaut"/>
    <w:uiPriority w:val="99"/>
    <w:unhideWhenUsed/>
    <w:rsid w:val="007879B2"/>
    <w:rPr>
      <w:color w:val="0563C1" w:themeColor="hyperlink"/>
      <w:u w:val="single"/>
    </w:rPr>
  </w:style>
  <w:style w:type="character" w:styleId="Mentionnonrsolue">
    <w:name w:val="Unresolved Mention"/>
    <w:basedOn w:val="Policepardfaut"/>
    <w:uiPriority w:val="99"/>
    <w:semiHidden/>
    <w:unhideWhenUsed/>
    <w:rsid w:val="007879B2"/>
    <w:rPr>
      <w:color w:val="605E5C"/>
      <w:shd w:val="clear" w:color="auto" w:fill="E1DFDD"/>
    </w:rPr>
  </w:style>
  <w:style w:type="character" w:customStyle="1" w:styleId="tl8wme">
    <w:name w:val="tl8wme"/>
    <w:basedOn w:val="Policepardfaut"/>
    <w:rsid w:val="0018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513258">
      <w:bodyDiv w:val="1"/>
      <w:marLeft w:val="0"/>
      <w:marRight w:val="0"/>
      <w:marTop w:val="0"/>
      <w:marBottom w:val="0"/>
      <w:divBdr>
        <w:top w:val="none" w:sz="0" w:space="0" w:color="auto"/>
        <w:left w:val="none" w:sz="0" w:space="0" w:color="auto"/>
        <w:bottom w:val="none" w:sz="0" w:space="0" w:color="auto"/>
        <w:right w:val="none" w:sz="0" w:space="0" w:color="auto"/>
      </w:divBdr>
      <w:divsChild>
        <w:div w:id="1302806643">
          <w:marLeft w:val="135"/>
          <w:marRight w:val="135"/>
          <w:marTop w:val="0"/>
          <w:marBottom w:val="90"/>
          <w:divBdr>
            <w:top w:val="none" w:sz="0" w:space="0" w:color="auto"/>
            <w:left w:val="none" w:sz="0" w:space="0" w:color="auto"/>
            <w:bottom w:val="none" w:sz="0" w:space="0" w:color="auto"/>
            <w:right w:val="none" w:sz="0" w:space="0" w:color="auto"/>
          </w:divBdr>
        </w:div>
        <w:div w:id="593905547">
          <w:marLeft w:val="135"/>
          <w:marRight w:val="135"/>
          <w:marTop w:val="0"/>
          <w:marBottom w:val="90"/>
          <w:divBdr>
            <w:top w:val="none" w:sz="0" w:space="0" w:color="auto"/>
            <w:left w:val="none" w:sz="0" w:space="0" w:color="auto"/>
            <w:bottom w:val="none" w:sz="0" w:space="0" w:color="auto"/>
            <w:right w:val="none" w:sz="0" w:space="0" w:color="auto"/>
          </w:divBdr>
        </w:div>
        <w:div w:id="1294751312">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ial.ly/fr" TargetMode="External"/><Relationship Id="rId3" Type="http://schemas.openxmlformats.org/officeDocument/2006/relationships/webSettings" Target="webSettings.xml"/><Relationship Id="rId7" Type="http://schemas.openxmlformats.org/officeDocument/2006/relationships/hyperlink" Target="https://www.usherbrooke.ca/psychologie/fileadmin/sites/psychologie/espace-etudiant/Revue_Interactions/Volume_4_no_2/V4N2_PAYETTE_Adrien_p39-6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so-alpe.fr/fichiers/martial/pagejoueraquoi/techniquesanimation.pdf" TargetMode="External"/><Relationship Id="rId11" Type="http://schemas.openxmlformats.org/officeDocument/2006/relationships/theme" Target="theme/theme1.xml"/><Relationship Id="rId5" Type="http://schemas.openxmlformats.org/officeDocument/2006/relationships/hyperlink" Target="http://francois.muller.free.fr/diversifier/mode.htm" TargetMode="External"/><Relationship Id="rId10" Type="http://schemas.openxmlformats.org/officeDocument/2006/relationships/fontTable" Target="fontTable.xml"/><Relationship Id="rId4" Type="http://schemas.openxmlformats.org/officeDocument/2006/relationships/hyperlink" Target="https://esf-scienceshumaines.fr/pedagogie/283-des-enseignants-qui-apprennent-ce-sont-des-eleves-qui-reussissent.html" TargetMode="External"/><Relationship Id="rId9" Type="http://schemas.openxmlformats.org/officeDocument/2006/relationships/hyperlink" Target="http://www.cahiers-pedagogiques.com/-Les-formations-du-CRAP-Cahiers-pedagogiqu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917</Words>
  <Characters>5044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connac</dc:creator>
  <cp:keywords/>
  <dc:description/>
  <cp:lastModifiedBy>sylvain connac</cp:lastModifiedBy>
  <cp:revision>6</cp:revision>
  <dcterms:created xsi:type="dcterms:W3CDTF">2018-08-18T13:43:00Z</dcterms:created>
  <dcterms:modified xsi:type="dcterms:W3CDTF">2018-08-21T13:58:00Z</dcterms:modified>
</cp:coreProperties>
</file>