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7"/>
        <w:gridCol w:w="4394"/>
        <w:gridCol w:w="4538"/>
      </w:tblGrid>
      <w:tr>
        <w:trPr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Thème 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langues et cultures de l’Antiquité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Problématique : </w:t>
            </w:r>
            <w:r>
              <w:rPr>
                <w:b/>
                <w:sz w:val="24"/>
                <w:szCs w:val="24"/>
              </w:rPr>
              <w:t>écrire une nouvelle concernant les mathématiciens de l’antiquité gréco-romaine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Niveau de classe, disciplines concernées : Classe(s) de 4</w:t>
            </w:r>
            <w:r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>, français et mathématiques</w:t>
            </w:r>
          </w:p>
        </w:tc>
      </w:tr>
      <w:tr>
        <w:trPr>
          <w:trHeight w:val="571" w:hRule="atLeast"/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Forme de travail, production/performance attendue :</w:t>
            </w:r>
            <w:r>
              <w:rPr/>
              <w:t xml:space="preserve"> travail en groupes de 4-5 élèves</w:t>
            </w:r>
          </w:p>
          <w:p>
            <w:pPr>
              <w:pStyle w:val="Normal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Vous écrirez une nouvelle (quête ou enquête) contenant au moins trois chapitres avec introduction et épilogue ; chaque chapitre se localisera dans une cité où a vécu un mathématicien ; pour passer d’une cité à l’autre, votre héros devra résoudre une énigme ayant trait aux mathématiques traitées par ce mathématicien ; vous présenterez également votre nouvelle à l’oral.</w:t>
            </w:r>
          </w:p>
        </w:tc>
      </w:tr>
      <w:tr>
        <w:trPr>
          <w:trHeight w:val="450" w:hRule="atLeast"/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Format horaire, répartition entre les deux disciplines </w:t>
            </w:r>
            <w:r>
              <w:rPr/>
              <w:t>(à choisir)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/>
            </w:pPr>
            <w:r>
              <w:rPr/>
              <w:t>3h sur un semestre pour les élèves : 1h pour le français et 1h pour les mathématiques et 1h en co-animation par semaine (par semaine : 4h profs dont une sur la marge horaire, 17 semaines)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sz w:val="20"/>
              </w:rPr>
            </w:pPr>
            <w:r>
              <w:rPr/>
              <w:t>Deux semaines pour les élèves (50h) : 16h pour le français, 16h pour les mathématiques et 18h de co-animation (par semaine : 44h profs dont 9h sur la marge horaire)</w:t>
            </w:r>
            <w:r>
              <w:rPr>
                <w:sz w:val="20"/>
              </w:rPr>
              <w:t xml:space="preserve">  </w:t>
            </w:r>
          </w:p>
        </w:tc>
      </w:tr>
      <w:tr>
        <w:trPr>
          <w:trHeight w:val="450" w:hRule="atLeast"/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Alternatives/initiatives : quelle place laissée au choix des élèves ?</w:t>
            </w:r>
          </w:p>
          <w:p>
            <w:pPr>
              <w:pStyle w:val="Normal"/>
              <w:spacing w:before="0" w:after="0"/>
              <w:rPr/>
            </w:pPr>
            <w:r>
              <w:rPr/>
              <w:t>Groupes : choix du héros, des cités, du nombre de chapitres</w:t>
            </w:r>
          </w:p>
        </w:tc>
      </w:tr>
      <w:tr>
        <w:trPr>
          <w:cantSplit w:val="false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Parties du programme du cycle 4 traitées </w:t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Estimation du volume horaire concerné  dans les programmes (en % ou en heures)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  <w:p>
            <w:pPr>
              <w:pStyle w:val="Normal"/>
              <w:spacing w:before="0" w:after="0"/>
              <w:rPr/>
            </w:pPr>
            <w:r>
              <w:rPr/>
              <w:t>La fiction pour interroger le réel (repère : la nouvelle)</w:t>
            </w:r>
          </w:p>
          <w:p>
            <w:pPr>
              <w:pStyle w:val="Normal"/>
              <w:spacing w:before="0" w:after="0"/>
              <w:rPr/>
            </w:pPr>
            <w:r>
              <w:rPr/>
              <w:t>La ville : lieu de tous les possibles </w:t>
            </w:r>
          </w:p>
          <w:p>
            <w:pPr>
              <w:pStyle w:val="Normal"/>
              <w:spacing w:before="0" w:after="0"/>
              <w:rPr/>
            </w:pPr>
            <w:r>
              <w:rPr/>
              <w:t>Ressources des littératures antiques </w:t>
            </w:r>
          </w:p>
          <w:p>
            <w:pPr>
              <w:pStyle w:val="Normal"/>
              <w:spacing w:before="0" w:after="0"/>
              <w:rPr/>
            </w:pPr>
            <w:r>
              <w:rPr/>
              <w:t>Lire à haute voix un texte de manière claire et intelligible</w:t>
            </w:r>
          </w:p>
          <w:p>
            <w:pPr>
              <w:pStyle w:val="Normal"/>
              <w:spacing w:before="0" w:after="0"/>
              <w:rPr/>
            </w:pPr>
            <w:r>
              <w:rPr/>
              <w:t>Rédiger un texte cohérent en fonction d’une intention, avec un lexique adapté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VHP : entre 15 et 20h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Mathématiques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Adaptation aux différentes notions géométriques et arithmétiques traitées par les différents groupes </w:t>
            </w:r>
          </w:p>
          <w:p>
            <w:pPr>
              <w:pStyle w:val="Normal"/>
              <w:spacing w:before="0" w:after="0"/>
              <w:rPr/>
            </w:pPr>
            <w:r>
              <w:rPr/>
              <w:t>Découverte et application des théorèmes de Pythagore et Thalès</w:t>
            </w:r>
          </w:p>
          <w:p>
            <w:pPr>
              <w:pStyle w:val="Normal"/>
              <w:spacing w:before="0" w:after="0"/>
              <w:rPr/>
            </w:pPr>
            <w:r>
              <w:rPr/>
              <w:t>Calculs divers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VHP : entre 15 et 20h</w:t>
            </w:r>
          </w:p>
        </w:tc>
      </w:tr>
      <w:tr>
        <w:trPr>
          <w:trHeight w:val="1691" w:hRule="atLeast"/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Ressources transversales développées (socle) à préciser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 1 : </w:t>
            </w:r>
            <w:r>
              <w:rPr/>
              <w:t xml:space="preserve">comprendre, s’exprimer en utilisant la langue française à l‘oral et à l’écrit, les langages mathématiques </w:t>
            </w:r>
            <w:r>
              <w:rPr>
                <w:b/>
              </w:rPr>
              <w:t xml:space="preserve">Domaine 2 : </w:t>
            </w:r>
            <w:r>
              <w:rPr/>
              <w:t>coopération et réalisation de projet ; recherche et traitement de l’information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3 : </w:t>
            </w:r>
            <w:r>
              <w:rPr/>
              <w:t>expression de la sensibilité et des opinions, respect des autres ; responsabilité, sens de l’engagement et de l’initiative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Domaine 4 : </w:t>
            </w:r>
            <w:r>
              <w:rPr/>
              <w:t>découvrir, décrire et questionner le monde</w:t>
            </w:r>
          </w:p>
          <w:p>
            <w:pPr>
              <w:pStyle w:val="Normal"/>
              <w:spacing w:before="0" w:after="0"/>
              <w:rPr>
                <w:rFonts w:cs="MS Gothic" w:ascii="MS Gothic" w:hAnsi="MS Gothic"/>
              </w:rPr>
            </w:pPr>
            <w:r>
              <w:rPr>
                <w:b/>
              </w:rPr>
              <w:t xml:space="preserve">Domaine 5 : </w:t>
            </w:r>
            <w:r>
              <w:rPr/>
              <w:t>l’espace et le temps ; invention, élaboration, production ;</w:t>
            </w:r>
            <w:r>
              <w:rPr>
                <w:rFonts w:cs="Calibri"/>
              </w:rPr>
              <w:t xml:space="preserve"> exercer sa créativité par des pratiques collectives (écriture de fiction) ; montrer, par l’histoire des sciences, qu’elles évoluent et impactent la société.</w:t>
            </w:r>
            <w:r>
              <w:rPr>
                <w:rFonts w:cs="MS Gothic" w:ascii="MS Gothic" w:hAnsi="MS Gothic"/>
              </w:rPr>
              <w:t> </w:t>
            </w:r>
          </w:p>
        </w:tc>
      </w:tr>
      <w:tr>
        <w:trPr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Supports proposés aux élèves</w:t>
            </w:r>
          </w:p>
          <w:p>
            <w:pPr>
              <w:pStyle w:val="Normal"/>
              <w:spacing w:before="0" w:after="0"/>
              <w:rPr/>
            </w:pPr>
            <w:r>
              <w:rPr/>
              <w:t>Carte de la Méditerranée indiquant les différentes cités possibles, logiciel de traitement de texte, ressources du CDI</w:t>
            </w:r>
          </w:p>
        </w:tc>
      </w:tr>
      <w:tr>
        <w:trPr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Partenariats </w:t>
            </w:r>
          </w:p>
          <w:p>
            <w:pPr>
              <w:pStyle w:val="Normal"/>
              <w:spacing w:before="0" w:after="0"/>
              <w:rPr/>
            </w:pPr>
            <w:r>
              <w:rPr/>
              <w:t>Professeur documentaliste</w:t>
            </w:r>
          </w:p>
        </w:tc>
      </w:tr>
      <w:tr>
        <w:trPr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Etapes de la mise en œuvre suivant le format horaire choisi (contenu détaillé, co-animation : avancée de la production)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Séances co-animation (sur 17 semaines : 1h de co-animation + 1h maths + 1h technologie) : </w:t>
            </w:r>
          </w:p>
          <w:p>
            <w:pPr>
              <w:pStyle w:val="Normal"/>
              <w:spacing w:before="0" w:after="0"/>
              <w:rPr/>
            </w:pPr>
            <w:r>
              <w:rPr/>
              <w:t>S1, S2 et S3 en classe entière : présentation du projet, contraintes (au moins 3 chapitres + introduction + épilogue, énigmes …), création des groupes, choix du héros, recherches au CDI sur les cités et les mathématiciens, choix des cités</w:t>
            </w:r>
          </w:p>
          <w:p>
            <w:pPr>
              <w:pStyle w:val="Normal"/>
              <w:spacing w:before="0" w:after="0"/>
              <w:rPr/>
            </w:pPr>
            <w:r>
              <w:rPr/>
              <w:t>S4, S5 et S6 en groupes : suite des recherches, avancée de l’écriture et des énigmes</w:t>
            </w:r>
          </w:p>
          <w:p>
            <w:pPr>
              <w:pStyle w:val="Normal"/>
              <w:spacing w:before="0" w:after="0"/>
              <w:rPr/>
            </w:pPr>
            <w:r>
              <w:rPr/>
              <w:t>S7, S8 et S9 en groupes : avancée de l’écriture et des énigmes, bilan à mi-parcours : présentation de l’avancée du projet</w:t>
            </w:r>
          </w:p>
          <w:p>
            <w:pPr>
              <w:pStyle w:val="Normal"/>
              <w:spacing w:before="0" w:after="0"/>
              <w:rPr/>
            </w:pPr>
            <w:r>
              <w:rPr/>
              <w:t>S10, S11 et S12 en groupes: ajustements par rapport au bilan, avancée de l’écriture et des énigmes</w:t>
            </w:r>
          </w:p>
          <w:p>
            <w:pPr>
              <w:pStyle w:val="Normal"/>
              <w:spacing w:before="0" w:after="0"/>
              <w:rPr/>
            </w:pPr>
            <w:r>
              <w:rPr/>
              <w:t>S13, S14 et S15 en groupes: avancée de l’écriture et des énigmes, préparation de l’oral</w:t>
            </w:r>
          </w:p>
          <w:p>
            <w:pPr>
              <w:pStyle w:val="Normal"/>
              <w:spacing w:before="0" w:after="0"/>
              <w:rPr/>
            </w:pPr>
            <w:r>
              <w:rPr/>
              <w:t>S16 et S17 en classe entière : finalisation de l’écriture (dossier et préparation de l’oral) et présentation orale devant jury</w:t>
            </w:r>
          </w:p>
        </w:tc>
      </w:tr>
      <w:tr>
        <w:trPr>
          <w:trHeight w:val="1350" w:hRule="atLeast"/>
          <w:cantSplit w:val="false"/>
        </w:trPr>
        <w:tc>
          <w:tcPr>
            <w:tcW w:w="11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Evaluation, rythme et forme : portfolio, carnet de bord, cahier d’apprentissage, échelles descriptives …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Auto-évaluation : </w:t>
            </w:r>
            <w:r>
              <w:rPr/>
              <w:t>carnet de bord (à chaque fin de séance), bilan à mi-parcours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Compétences transversales : </w:t>
            </w:r>
            <w:r>
              <w:rPr/>
              <w:t>bilan à mi-parcours,</w:t>
            </w:r>
            <w:r>
              <w:rPr>
                <w:b/>
              </w:rPr>
              <w:t xml:space="preserve"> </w:t>
            </w:r>
            <w:r>
              <w:rPr/>
              <w:t>échelles descriptives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Compétences disciplinaires : </w:t>
            </w:r>
            <w:r>
              <w:rPr/>
              <w:t>bilan toutes les 3-4 heures</w:t>
            </w:r>
            <w:r>
              <w:rPr>
                <w:b/>
              </w:rPr>
              <w:t> </w:t>
            </w:r>
            <w:r>
              <w:rPr/>
              <w:t>; contrôle en fin de projet (transfert ?)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Production : </w:t>
            </w:r>
            <w:r>
              <w:rPr/>
              <w:t>vote du meilleur projet, oral, contenus disciplinaires, qualité de l’écrit, travail du groupe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283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rPr/>
    </w:pPr>
    <w:r>
      <w:rPr/>
      <w:t xml:space="preserve">Anne-Marie SANCHEZ, Caroline ROUSSEAU,  </w:t>
      <w:drawing>
        <wp:anchor behindDoc="0" distT="0" distB="101600" distL="0" distR="0" simplePos="0" locked="0" layoutInCell="1" allowOverlap="1" relativeHeight="1">
          <wp:simplePos x="0" y="0"/>
          <wp:positionH relativeFrom="column">
            <wp:posOffset>6091555</wp:posOffset>
          </wp:positionH>
          <wp:positionV relativeFrom="paragraph">
            <wp:posOffset>139065</wp:posOffset>
          </wp:positionV>
          <wp:extent cx="838200" cy="29527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séminaire Sgen mai 2015 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426be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uiPriority w:val="99"/>
    <w:link w:val="En-tte"/>
    <w:rsid w:val="00df4c2f"/>
    <w:basedOn w:val="DefaultParagraphFont"/>
    <w:rPr/>
  </w:style>
  <w:style w:type="character" w:styleId="PieddepageCar" w:customStyle="1">
    <w:name w:val="Pied de page Car"/>
    <w:uiPriority w:val="99"/>
    <w:link w:val="Pieddepage"/>
    <w:rsid w:val="00df4c2f"/>
    <w:basedOn w:val="DefaultParagraphFont"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5426be"/>
    <w:basedOn w:val="Normal"/>
    <w:pPr>
      <w:spacing w:before="0" w:after="160"/>
      <w:ind w:left="720" w:right="0" w:hanging="0"/>
      <w:contextualSpacing/>
    </w:pPr>
    <w:rPr/>
  </w:style>
  <w:style w:type="paragraph" w:styleId="Entte">
    <w:name w:val="En-tête"/>
    <w:uiPriority w:val="99"/>
    <w:unhideWhenUsed/>
    <w:link w:val="En-tteCar"/>
    <w:rsid w:val="00df4c2f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df4c2f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426b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2015-06-15T09:07:00Z</dcterms:created>
  <dc:creator>anne-marie sanchez</dc:creator>
  <dc:language>fr-FR</dc:language>
  <cp:lastModifiedBy>anne-marie sanchez</cp:lastModifiedBy>
  <dcterms:modified xsi:type="dcterms:W3CDTF">2015-06-18T19:11:00Z</dcterms:modified>
  <cp:revision>4</cp:revision>
</cp:coreProperties>
</file>